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  <w:sz w:val="24"/>
          <w:szCs w:val="24"/>
        </w:rPr>
        <w:t>ANEXO II</w:t>
      </w:r>
    </w:p>
    <w:p>
      <w:pPr>
        <w:pStyle w:val="Normal"/>
        <w:spacing w:lineRule="auto" w:line="276"/>
        <w:jc w:val="center"/>
        <w:rPr>
          <w:rFonts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  <w:sz w:val="24"/>
          <w:szCs w:val="24"/>
        </w:rPr>
        <w:t>TERMO DE REFERÊNCIA – LEI 14.133/21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DISPENSA ELETRÔNICA DE LICITAÇÃO – AQUISIÇÃO DE MATERIAL DE CONSUMO E LIMPEZA PARA O INSTITUTO DE PREVIDÊNCIA – </w:t>
      </w:r>
      <w:r>
        <w:rPr>
          <w:rFonts w:cs="Arial"/>
          <w:b/>
          <w:bCs/>
          <w:sz w:val="24"/>
          <w:szCs w:val="24"/>
          <w:u w:val="none"/>
        </w:rPr>
        <w:t>SGP-PREV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iCs/>
          <w:color w:val="000000"/>
          <w:sz w:val="24"/>
          <w:szCs w:val="24"/>
        </w:rPr>
        <w:t xml:space="preserve">Processo Administrativo nº </w:t>
      </w:r>
      <w:r>
        <w:rPr>
          <w:b/>
          <w:bCs/>
          <w:iCs/>
          <w:color w:val="000000"/>
          <w:sz w:val="24"/>
          <w:szCs w:val="24"/>
        </w:rPr>
        <w:t>060/2024</w:t>
      </w:r>
    </w:p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ivel1"/>
        <w:spacing w:before="0" w:after="0"/>
        <w:rPr>
          <w:rFonts w:cs="Times New Roman"/>
          <w:bCs/>
        </w:rPr>
      </w:pPr>
      <w:r>
        <w:rPr>
          <w:rFonts w:cs="Times New Roman" w:ascii="Times New Roman" w:hAnsi="Times New Roman"/>
          <w:bCs/>
          <w:sz w:val="24"/>
          <w:szCs w:val="24"/>
        </w:rPr>
        <w:t>1. DAS CONDIÇÕES GERAIS DA CONTRATAÇÃO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1.1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O objeto do presente instrumento é a aquisição de material de consumo e limpeza, em atendimento às necessidades do Instituto de Previdência de São Gabriel da Palha – ES, nos termos da tabela abaixo, conforme condições e exigências estabelecidas neste instrumento.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Style w:val="3"/>
        <w:tblW w:w="10590" w:type="dxa"/>
        <w:jc w:val="left"/>
        <w:tblInd w:w="-59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019"/>
        <w:gridCol w:w="3511"/>
        <w:gridCol w:w="1589"/>
        <w:gridCol w:w="1410"/>
        <w:gridCol w:w="1685"/>
        <w:gridCol w:w="1375"/>
      </w:tblGrid>
      <w:tr>
        <w:trPr>
          <w:trHeight w:val="840" w:hRule="atLeast"/>
        </w:trPr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 w:val="21"/>
                <w:szCs w:val="21"/>
              </w:rPr>
              <w:t>Item</w:t>
            </w:r>
          </w:p>
        </w:tc>
        <w:tc>
          <w:tcPr>
            <w:tcW w:w="35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b/>
                <w:sz w:val="21"/>
                <w:szCs w:val="21"/>
              </w:rPr>
              <w:t>DESCRIÇÃO/</w:t>
            </w:r>
            <w:r>
              <w:rPr>
                <w:rFonts w:eastAsia="Times New Roman" w:cs="Times New Roman"/>
                <w:b/>
                <w:sz w:val="21"/>
                <w:szCs w:val="21"/>
                <w:lang w:val="pt-BR"/>
              </w:rPr>
              <w:t xml:space="preserve"> </w:t>
            </w:r>
            <w:r>
              <w:rPr>
                <w:rFonts w:eastAsia="Times New Roman" w:cs="Times New Roman"/>
                <w:b/>
                <w:sz w:val="21"/>
                <w:szCs w:val="21"/>
              </w:rPr>
              <w:t>ESPECIFICAÇÃO</w:t>
            </w:r>
          </w:p>
        </w:tc>
        <w:tc>
          <w:tcPr>
            <w:tcW w:w="1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  <w:sz w:val="21"/>
                <w:szCs w:val="21"/>
              </w:rPr>
              <w:t>UNIDADE DE MEDIDA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  <w:sz w:val="21"/>
                <w:szCs w:val="21"/>
              </w:rPr>
              <w:t>QUANT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VALOR ESTIMADO UNITÁRIO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VALOR ESTIMADO TOTAL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01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Saco Plástico Lixo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Capacidade: 30 L, Aplicação: Coleta De Lixo , Material: Polietileno Alta Densidade. Pacote contendo 50 unidades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Pacote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15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6,83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102,45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02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1"/>
                <w:szCs w:val="21"/>
              </w:rPr>
            </w:pPr>
            <w:r>
              <w:rPr>
                <w:rFonts w:eastAsia="Times New Roman" w:cs="Arial"/>
                <w:b/>
                <w:bCs/>
                <w:i w:val="false"/>
                <w:iCs w:val="false"/>
                <w:color w:val="000000"/>
                <w:sz w:val="21"/>
                <w:szCs w:val="21"/>
                <w:lang w:eastAsia="pt-BR"/>
              </w:rPr>
              <w:t xml:space="preserve">Sabonete Líquido </w:t>
            </w:r>
            <w:r>
              <w:rPr>
                <w:rFonts w:eastAsia="Times New Roman" w:cs="Arial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  <w:lang w:eastAsia="pt-BR"/>
              </w:rPr>
              <w:t>Aspecto Físico: Líquido Perfumado , Acidez: Ph Neutro , Aplicação: Assepsia Das Mãos , Composição: Glicerina , Aroma: Lavanda. Frasco contendo 1 litro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Frasco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4,76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95,20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03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Toalha De Papel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Papel , Tipo Folha: 2 Dobras , Comprimento: 21,50 CM, Largura: 24 A 25 CM, Cor: Branca , Características Adicionais: Interfolhada , Aplicação: Higiene Pessoal. Embalagem contendo 1000 folhas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Embalagem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10,40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156,00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04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Limpador Impurezas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Composição Básica: Lauril Éter Sulfato De Sódio, Linear Alquil Benze- , Aspecto Físico: Líquido , Aplicação: Manchas E Sujeiras Difíceis. Frasco 500 ml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Frasco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9,05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27,15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05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Copo Descartável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Poliestireno, Capacidade: 200 ML, Cor: Incolor. Pacote contendo 100 unidades cada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Pct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6,20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372,00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06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Jarra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Aço Inoxidável , Capacidade: 2 L, Modelo: Com Tampa E Aparador Para Gelo , Aplicação: Água/Suco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65,30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130,60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07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Vassoura Piaçava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 Cerdas: Piaçava , Material Cepa: Chapa De Aço , Comprimento Cepa: 21 CM, Características Adicionais: Com Cabo Madeira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14,51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29,02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08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Suporte Filtro Café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Plástico , Modelo: Tradicional , Cor: Marrom , Tamanho Referência: Nº 103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14,80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29,60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09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Coador Descartável Café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Papel , Tamanho: 103. Caixa contendo 30 unidades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Cx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5,05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50,50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Mangueira Jardim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Pvc E Poliéster Trançado , Diâmetro: 1/2 POL, Pressão Máxima: 12 BAR., Comprimento: 50 M, Cor: Cristal , Características Adicionais: Três Camadas Intermediaria De Pvc Transparente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Rolo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01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148,00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>R$ 1</w:t>
            </w:r>
            <w:r>
              <w:rPr>
                <w:color w:val="000000"/>
                <w:sz w:val="21"/>
                <w:szCs w:val="21"/>
              </w:rPr>
              <w:t>48,00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11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Dispenser Para Copo Plástico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Plástico Abs/Acrílico , Cor: Branca , Transmitância: Transparente , Capacidade Copo: 200 ML, Capacidade: 100 UN, Características Adicionais: Sistema Poupa Copo Com Alavanca 16x50x19 Cm , Material Base: Prolipropileno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01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36,75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36,75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12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Papel Higiênico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Celulose Virgem , Largura: 10 CM, Cor: Branca , Características Adicionais: Picotado, Folha Dupla. Pacote contendo 04 unidades de 60 metros cada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Pct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7,12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106,80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13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Desinfetante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Composição: Cloreto De Benzalcônico, Emulssificante, Essência, , Aplicação: Bactericida , Princípio Ativo: Cloreto De Benzalcõnico , Forma Física: Solução Aquosam Aroma , Características Adicionais 1: Com Aromaicionado. Lavanda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Litro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8,62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258,60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14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Pano Limpeza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100% Algodão , Comprimento: 64 CM, Largura: 45 CM, Características Adicionais: Alvejado , Aplicação: Uso Geral , Cor: Branca , Tipo: Saco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03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8,08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24,24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15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Água Sanitária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Composição Química: Hipoclorito De Sódio, Hidróxido De Sódio, Cloreto , Teor Cloro Ativo: Varia De 2 A 2,50% , Classe Corrosivo: Classe 8 , Número Risco: 85 , Risco Saúde: 3 , Corrosividade: 1 , Peso Molecular Cloro: 74,50 , Densidade: De 1,20 A 1 G/L, Cor: Incolor , Aplicação: Lavagem E Alvejante De Roupas, Banheiras, Pias.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Embalagem 5 litros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04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11,25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45,00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16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Álcool Etílico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Tipo: Hidratado , Teor Alcoólico: 70%_(70°Gl) , Apresentação: Líquido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Litro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6,90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69,00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17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Toalha De Papel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Papel , Tipo Folha: Dupla Picotada , Quantidade Toalha: 60 UN, Comprimento: 22,50 CM, Largura: 21,50 CM, Cor: Branca. Pacote contendo 2 rolos cada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Pct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5,39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80,85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18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Sabão Pó </w:t>
            </w:r>
            <w:r>
              <w:rPr>
                <w:rFonts w:ascii="Times New Roman" w:hAnsi="Times New Roman"/>
                <w:sz w:val="21"/>
                <w:szCs w:val="21"/>
              </w:rPr>
              <w:t>Aplicação: Limpeza Geral , Aditivos: Não Aplicável , Odor: Não Aplicável. Pacote contendo 1 kg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Pct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05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5,94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29,70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19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Pano Prato </w:t>
            </w:r>
            <w:r>
              <w:rPr>
                <w:rFonts w:ascii="Times New Roman" w:hAnsi="Times New Roman"/>
                <w:sz w:val="21"/>
                <w:szCs w:val="21"/>
              </w:rPr>
              <w:t>Material: Algodão Alvejado , Comprimento: 70 CM, Largura: 40 CM, Cor: Branca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02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7,86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15,72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20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Lixeira </w:t>
            </w:r>
            <w:r>
              <w:rPr>
                <w:rFonts w:ascii="Times New Roman" w:hAnsi="Times New Roman"/>
                <w:sz w:val="21"/>
                <w:szCs w:val="21"/>
              </w:rPr>
              <w:t>Material: Polipropileno Reforçado , Capacidade: 15 L, Tipo: Tampa E Pedal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03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32,84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98,52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21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Lâmpada Led </w:t>
            </w:r>
            <w:r>
              <w:rPr>
                <w:rFonts w:ascii="Times New Roman" w:hAnsi="Times New Roman"/>
                <w:sz w:val="21"/>
                <w:szCs w:val="21"/>
              </w:rPr>
              <w:t>Tensão Nominal: Bivolt V, Potência Nominal: 30 W, Tipo Base: E-27 , Fluxo Luminoso: Mín. 2300 LM, Tipo Bulbo: Leitoso , Temperatura De Cor: 6500 K, Formato: Compacta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14,99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149,90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22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Inseticida </w:t>
            </w:r>
            <w:r>
              <w:rPr>
                <w:rFonts w:ascii="Times New Roman" w:hAnsi="Times New Roman"/>
                <w:sz w:val="21"/>
                <w:szCs w:val="21"/>
              </w:rPr>
              <w:t>Tipo: Líquido , Aplicação: Uso Doméstico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05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10,76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53,80</w:t>
            </w:r>
          </w:p>
        </w:tc>
      </w:tr>
      <w:tr>
        <w:trPr>
          <w:trHeight w:val="1187" w:hRule="atLeast"/>
        </w:trPr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23</w:t>
            </w:r>
          </w:p>
        </w:tc>
        <w:tc>
          <w:tcPr>
            <w:tcW w:w="3511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Pano Limpeza </w:t>
            </w:r>
            <w:r>
              <w:rPr>
                <w:rFonts w:ascii="Times New Roman" w:hAnsi="Times New Roman"/>
                <w:sz w:val="21"/>
                <w:szCs w:val="21"/>
              </w:rPr>
              <w:t>Material: 100% Viscose E Resina Acrílica , Comprimento: 50 CM, Largura: 33 CM, Aplicação: Limpeza Geral. Pacote contendo 5 unidades cada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Pct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168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5,70</w:t>
            </w: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 xml:space="preserve">R$ </w:t>
            </w:r>
            <w:r>
              <w:rPr>
                <w:color w:val="000000"/>
                <w:sz w:val="21"/>
                <w:szCs w:val="21"/>
              </w:rPr>
              <w:t>285,00</w:t>
            </w:r>
          </w:p>
        </w:tc>
      </w:tr>
      <w:tr>
        <w:trPr>
          <w:trHeight w:val="730" w:hRule="atLeast"/>
        </w:trPr>
        <w:tc>
          <w:tcPr>
            <w:tcW w:w="1058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VALOR ESTIMADO TOTAL: R$ </w:t>
            </w:r>
            <w:r>
              <w:rPr>
                <w:b/>
                <w:bCs/>
                <w:color w:val="000000"/>
                <w:sz w:val="24"/>
                <w:szCs w:val="24"/>
              </w:rPr>
              <w:t>2.394,40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dois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mil trezentos e </w:t>
            </w:r>
            <w:r>
              <w:rPr>
                <w:b/>
                <w:bCs/>
                <w:color w:val="000000"/>
                <w:sz w:val="24"/>
                <w:szCs w:val="24"/>
              </w:rPr>
              <w:t>noventa e quatro reais e quarenta centavos</w:t>
            </w:r>
            <w:r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>
      <w:pPr>
        <w:pStyle w:val="Normal"/>
        <w:suppressAutoHyphens w:val="false"/>
        <w:spacing w:lineRule="auto" w:line="276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76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</w:rPr>
        <w:t>1.2</w:t>
      </w:r>
      <w:bookmarkStart w:id="0" w:name="art23§711"/>
      <w:r>
        <w:rPr>
          <w:iCs/>
          <w:sz w:val="24"/>
          <w:szCs w:val="24"/>
        </w:rPr>
        <w:t>. O objeto desta contratação não se enquadra como sendo de bem de luxo, conforme Portaria nº 14, de 06 de maio de 2024.</w:t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1.3 </w:t>
      </w:r>
      <w:r>
        <w:rPr>
          <w:iCs/>
          <w:sz w:val="24"/>
          <w:szCs w:val="24"/>
        </w:rPr>
        <w:t>Os produtos propostos deverão, obrigatoriamente, atender as exigências de qualidade, observados os padrões e normas baixadas pelos órgãos competentes de controle e fiscalização de qualidade industrial.</w:t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</w:rPr>
        <w:t>1.4</w:t>
      </w:r>
      <w:r>
        <w:rPr>
          <w:iCs/>
          <w:sz w:val="24"/>
          <w:szCs w:val="24"/>
        </w:rPr>
        <w:t xml:space="preserve">.  </w:t>
      </w:r>
      <w:r>
        <w:rPr>
          <w:rFonts w:cs="Arial"/>
          <w:bCs/>
          <w:iCs/>
          <w:color w:val="000000"/>
          <w:sz w:val="24"/>
          <w:szCs w:val="24"/>
        </w:rPr>
        <w:t xml:space="preserve">O prazo de vigência da aquisição será de 30 (trinta) </w:t>
      </w:r>
      <w:r>
        <w:rPr>
          <w:rFonts w:eastAsia="Times New Roman" w:cs="Times New Roman"/>
          <w:bCs/>
          <w:iCs/>
          <w:color w:val="000000"/>
          <w:sz w:val="24"/>
          <w:szCs w:val="24"/>
        </w:rPr>
        <w:t>dias</w:t>
      </w:r>
      <w:r>
        <w:rPr>
          <w:rFonts w:cs="Arial"/>
          <w:bCs/>
          <w:iCs/>
          <w:color w:val="000000"/>
          <w:sz w:val="24"/>
          <w:szCs w:val="24"/>
        </w:rPr>
        <w:t>, com entrega em até 10 (dez) dias contados da confirmação de recebimento da autorização de fornecimento emitida.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</w:rPr>
        <w:t>1.5.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 O custo estimado total da contratação é de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R$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2.394,40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 (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dois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mil trezentos e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noventa e quatro reais e quarenta centavos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)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conforme custos unitários da pesquisa realizada no Painel de Preços do Governo Federal e no quadro comparativo de preços simples em anexo.</w:t>
      </w:r>
    </w:p>
    <w:p>
      <w:pPr>
        <w:pStyle w:val="Nivel1"/>
        <w:spacing w:before="0" w:after="0"/>
        <w:rPr>
          <w:rFonts w:cs="Times New Roman"/>
          <w:bCs/>
        </w:rPr>
      </w:pPr>
      <w:bookmarkStart w:id="1" w:name="art23§73"/>
      <w:bookmarkStart w:id="2" w:name="art23§72"/>
      <w:bookmarkStart w:id="3" w:name="art23§71"/>
      <w:bookmarkStart w:id="4" w:name="art23§7"/>
      <w:bookmarkEnd w:id="1"/>
      <w:bookmarkEnd w:id="2"/>
      <w:bookmarkEnd w:id="3"/>
      <w:bookmarkEnd w:id="4"/>
      <w:r>
        <w:rPr>
          <w:rFonts w:cs="Times New Roman" w:ascii="Times New Roman" w:hAnsi="Times New Roman"/>
          <w:bCs/>
          <w:sz w:val="24"/>
          <w:szCs w:val="24"/>
        </w:rPr>
        <w:t>2. FUNDAMENTAÇÃO E DESCRIÇÃO DA NECESSIDADE DA CONTRATAÇÃO</w:t>
      </w:r>
    </w:p>
    <w:p>
      <w:pPr>
        <w:pStyle w:val="Normal"/>
        <w:spacing w:before="0"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2.1. </w:t>
      </w:r>
      <w:r>
        <w:rPr>
          <w:rFonts w:cs="Arial"/>
          <w:b w:val="false"/>
          <w:bCs w:val="false"/>
          <w:sz w:val="24"/>
          <w:szCs w:val="24"/>
        </w:rPr>
        <w:t xml:space="preserve">A aquisição de material de consumo e limpeza faz-se necessária para a manutenção da higiene dos ambientes utilizados pela equipe de trabalho do SGP-Prev, bem como dos membros dos órgãos colegiados, aposentados e pensionistas do SGP-Prev. </w:t>
      </w:r>
      <w:r>
        <w:rPr>
          <w:rFonts w:cs="Times New Roman"/>
          <w:b w:val="false"/>
          <w:bCs w:val="false"/>
          <w:sz w:val="24"/>
          <w:szCs w:val="24"/>
        </w:rPr>
        <w:t>Tal contratação resultar-se-á benéfica e vantajosa, tendo em vista a economicidade trazida, quando comparada com a aquisição pelos servidores e consequente ressarcimento pelo Órgão.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cs="Times New Roman"/>
          <w:bCs/>
        </w:rPr>
      </w:pPr>
      <w:r>
        <w:rPr>
          <w:rFonts w:cs="Times New Roman"/>
          <w:bCs/>
          <w:sz w:val="24"/>
          <w:szCs w:val="24"/>
        </w:rPr>
        <w:t>A determinação das quantidades a serem adquiridas foi estipulada em função de consumo e utilização prováveis, cuja estimativa foi obtida mediante adequadas técnicas quantitativas. Adotou-se o consumo do período de 2023/2024 como referência para a estimar o consumo para o período 2024/2025, sem previsão de aumento na quantidade, que não excedeu o quantitativo mensal de utilização dos itens.</w:t>
      </w:r>
    </w:p>
    <w:p>
      <w:pPr>
        <w:pStyle w:val="Nivel1"/>
        <w:spacing w:before="309" w:after="0"/>
        <w:rPr>
          <w:bCs/>
        </w:rPr>
      </w:pPr>
      <w:r>
        <w:rPr>
          <w:rFonts w:ascii="Times New Roman" w:hAnsi="Times New Roman"/>
          <w:bCs/>
          <w:sz w:val="24"/>
          <w:szCs w:val="24"/>
        </w:rPr>
        <w:t>3. CLASSIFICAÇÃO DOS BENS COMUNS</w:t>
      </w:r>
    </w:p>
    <w:p>
      <w:pPr>
        <w:pStyle w:val="Normal"/>
        <w:spacing w:lineRule="auto" w:line="276"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3.1 </w:t>
      </w:r>
      <w:r>
        <w:rPr>
          <w:rFonts w:cs="Arial"/>
          <w:color w:val="000000"/>
          <w:sz w:val="24"/>
          <w:szCs w:val="24"/>
        </w:rPr>
        <w:t>Trata-se de bens comuns a ser contratado mediante dispensa de licitação.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ivel1"/>
        <w:spacing w:before="0" w:after="0"/>
        <w:rPr>
          <w:rFonts w:cs="Times New Roman"/>
          <w:bCs/>
        </w:rPr>
      </w:pPr>
      <w:r>
        <w:rPr>
          <w:rFonts w:cs="Times New Roman" w:ascii="Times New Roman" w:hAnsi="Times New Roman"/>
          <w:bCs/>
          <w:sz w:val="24"/>
          <w:szCs w:val="24"/>
        </w:rPr>
        <w:t>4. REQUISITOS DA CONTRATAÇÃO</w:t>
      </w:r>
    </w:p>
    <w:p>
      <w:pPr>
        <w:pStyle w:val="Normal"/>
        <w:shd w:val="clear" w:color="auto" w:fill="FFFFFF"/>
        <w:suppressAutoHyphens w:val="false"/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eastAsia="Calibri" w:cs="Arial"/>
          <w:b/>
          <w:bCs/>
          <w:color w:val="000000"/>
          <w:sz w:val="24"/>
          <w:szCs w:val="24"/>
          <w:shd w:fill="FFFFFF" w:val="clear"/>
          <w:lang w:eastAsia="zh-CN"/>
        </w:rPr>
        <w:t xml:space="preserve">4.1. </w:t>
      </w:r>
      <w:r>
        <w:rPr>
          <w:rFonts w:eastAsia="Calibri" w:cs="Arial"/>
          <w:b w:val="false"/>
          <w:bCs w:val="false"/>
          <w:color w:val="000000"/>
          <w:sz w:val="24"/>
          <w:szCs w:val="24"/>
          <w:shd w:fill="FFFFFF" w:val="clear"/>
          <w:lang w:eastAsia="zh-CN"/>
        </w:rPr>
        <w:t>A contratação deverá observar os seguintes requisitos:</w:t>
      </w:r>
    </w:p>
    <w:p>
      <w:pPr>
        <w:pStyle w:val="Normal"/>
        <w:shd w:val="clear" w:color="auto" w:fill="FFFFFF"/>
        <w:suppressAutoHyphens w:val="false"/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4.2. </w:t>
      </w:r>
      <w:r>
        <w:rPr>
          <w:b w:val="false"/>
          <w:bCs w:val="false"/>
          <w:sz w:val="24"/>
          <w:szCs w:val="24"/>
        </w:rPr>
        <w:t>Não haverá danos ao meio ambiente, uma vez que a aquisição não gerará tal problema para a Administração Pública.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4.3.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A aquisição se dará por dispensa de licitação (sendo sagrado vencedor, o fornecedor que apresentar o menor valor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por item </w:t>
      </w:r>
      <w:r>
        <w:rPr>
          <w:rFonts w:ascii="Times New Roman" w:hAnsi="Times New Roman"/>
          <w:b w:val="false"/>
          <w:bCs w:val="false"/>
          <w:sz w:val="24"/>
          <w:szCs w:val="24"/>
        </w:rPr>
        <w:t>a ser adquirido), com entrega única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,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em até 10 (dez) dias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 após a emissão da autorização de fornecimento e a confirmação de recebimento pela empresa.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eastAsia="Calibri" w:ascii="Times New Roman" w:hAnsi="Times New Roman"/>
          <w:b/>
          <w:bCs/>
          <w:sz w:val="24"/>
          <w:szCs w:val="24"/>
          <w:shd w:fill="FFFFFF" w:val="clear"/>
        </w:rPr>
        <w:t xml:space="preserve">4.4. </w:t>
      </w:r>
      <w:r>
        <w:rPr>
          <w:rFonts w:eastAsia="Calibri" w:ascii="Times New Roman" w:hAnsi="Times New Roman"/>
          <w:b w:val="false"/>
          <w:bCs w:val="false"/>
          <w:sz w:val="24"/>
          <w:szCs w:val="24"/>
          <w:shd w:fill="FFFFFF" w:val="clear"/>
        </w:rPr>
        <w:t xml:space="preserve">A empresa fornecedora deverá entregar o objeto de qualidade de acordo com a especificação apresentada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na autorização de fornecimento/execução, sem marcas e sem defeitos e </w:t>
      </w:r>
      <w:r>
        <w:rPr>
          <w:rFonts w:eastAsia="Calibri" w:ascii="Times New Roman" w:hAnsi="Times New Roman"/>
          <w:b w:val="false"/>
          <w:bCs w:val="false"/>
          <w:sz w:val="24"/>
          <w:szCs w:val="24"/>
          <w:shd w:fill="FFFFFF" w:val="clear"/>
        </w:rPr>
        <w:t>em perfeitas condições de uso de acordo com as normas técnicas e de segurança vigentes.</w:t>
      </w:r>
    </w:p>
    <w:p>
      <w:pPr>
        <w:pStyle w:val="ListParagraph"/>
        <w:shd w:val="clear" w:color="auto" w:fill="FFFFFF"/>
        <w:suppressAutoHyphens w:val="false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fill="FFFFFF" w:val="clear"/>
        </w:rPr>
        <w:t xml:space="preserve">4.5. </w:t>
      </w:r>
      <w:r>
        <w:rPr>
          <w:rFonts w:ascii="Times New Roman" w:hAnsi="Times New Roman"/>
          <w:b w:val="false"/>
          <w:bCs w:val="false"/>
          <w:sz w:val="24"/>
          <w:szCs w:val="24"/>
          <w:shd w:fill="FFFFFF" w:val="clear"/>
        </w:rPr>
        <w:t>A contratação deverá obedecer, no que couber, ao disposto na Lei nº 14.133/2021 e suas alterações.</w:t>
      </w:r>
    </w:p>
    <w:p>
      <w:pPr>
        <w:pStyle w:val="ListParagraph"/>
        <w:tabs>
          <w:tab w:val="clear" w:pos="708"/>
          <w:tab w:val="left" w:pos="567" w:leader="none"/>
        </w:tabs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4.6.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A empresa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ganhadora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deverá entregar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os itens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na data estipulada na autorização de fornecimento/execução emitida pelo Departamento de Compras e Contratos.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4.7. </w:t>
      </w:r>
      <w:r>
        <w:rPr>
          <w:rFonts w:ascii="Times New Roman" w:hAnsi="Times New Roman"/>
          <w:b w:val="false"/>
          <w:bCs w:val="false"/>
          <w:sz w:val="24"/>
          <w:szCs w:val="24"/>
        </w:rPr>
        <w:t>Não será admitida a subcontratação do objeto contratual.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4.8. </w:t>
      </w:r>
      <w:r>
        <w:rPr>
          <w:rFonts w:ascii="Times New Roman" w:hAnsi="Times New Roman"/>
          <w:b w:val="false"/>
          <w:bCs w:val="false"/>
          <w:sz w:val="24"/>
          <w:szCs w:val="24"/>
        </w:rPr>
        <w:t>Não haverá exigência da garantia da contratação dos arts. 96 e seguintes da Lei nº 14.133/21.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4.9. </w:t>
      </w:r>
      <w:r>
        <w:rPr>
          <w:rFonts w:ascii="Times New Roman" w:hAnsi="Times New Roman"/>
          <w:b w:val="false"/>
          <w:bCs w:val="false"/>
          <w:sz w:val="24"/>
          <w:szCs w:val="24"/>
        </w:rPr>
        <w:t>Não haverá reajustamento de preços dos produtos adquiridos.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</w:rPr>
        <w:t xml:space="preserve">4.10.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</w:rPr>
        <w:t>No valor unitário de cada item, deverá estar incluso os valores necessários com insumos, logística e mão de obra.</w:t>
      </w:r>
    </w:p>
    <w:p>
      <w:pPr>
        <w:pStyle w:val="Normal"/>
        <w:tabs>
          <w:tab w:val="clear" w:pos="708"/>
          <w:tab w:val="left" w:pos="133" w:leader="none"/>
        </w:tabs>
        <w:spacing w:lineRule="auto" w:line="276"/>
        <w:jc w:val="both"/>
        <w:rPr>
          <w:rFonts w:ascii="Times New Roman" w:hAnsi="Times New Roman" w:eastAsia="Arial" w:cs="Arial"/>
          <w:b/>
          <w:b/>
          <w:bCs/>
          <w:sz w:val="24"/>
          <w:szCs w:val="24"/>
        </w:rPr>
      </w:pPr>
      <w:r>
        <w:rPr>
          <w:rFonts w:eastAsia="Arial" w:cs="Arial"/>
          <w:b/>
          <w:bCs/>
          <w:sz w:val="24"/>
          <w:szCs w:val="24"/>
        </w:rPr>
      </w:r>
    </w:p>
    <w:p>
      <w:pPr>
        <w:pStyle w:val="Nivel1"/>
        <w:suppressAutoHyphens w:val="true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ENTREGA E CRITÉRIOS DE ACEITAÇÃO DO OBJETO.</w:t>
      </w:r>
    </w:p>
    <w:p>
      <w:pPr>
        <w:pStyle w:val="Normal"/>
        <w:suppressAutoHyphens w:val="true"/>
        <w:spacing w:before="0" w:after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5.1. </w:t>
      </w:r>
      <w:r>
        <w:rPr>
          <w:rFonts w:cs="Arial"/>
          <w:sz w:val="24"/>
          <w:szCs w:val="24"/>
        </w:rPr>
        <w:t>O fornecedor deverá entregar as mercadorias de acordo com o estabelecido na Autorização de Fornecimento.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5.2</w:t>
      </w:r>
      <w:r>
        <w:rPr>
          <w:rFonts w:cs="Arial"/>
          <w:color w:val="000000"/>
          <w:sz w:val="24"/>
          <w:szCs w:val="24"/>
        </w:rPr>
        <w:t>. Os materiais deverão ser entregues no SGP-Prev, no seguinte endereço:</w:t>
      </w:r>
    </w:p>
    <w:p>
      <w:pPr>
        <w:pStyle w:val="Normal"/>
        <w:spacing w:lineRule="auto" w:line="276"/>
        <w:jc w:val="both"/>
        <w:rPr>
          <w:rFonts w:cs="Arial"/>
          <w:color w:val="000000"/>
        </w:rPr>
      </w:pPr>
      <w:r>
        <w:rPr>
          <w:rFonts w:cs="Arial"/>
          <w:color w:val="000000"/>
          <w:sz w:val="24"/>
          <w:szCs w:val="24"/>
        </w:rPr>
        <w:t>-Av. Bertolo Malacarne, 168, Sala 02 – A, B e C, Bairro Glória, São Gabriel da Palha, CEP - 29780-000.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 xml:space="preserve">Tel.: </w:t>
      </w:r>
      <w:r>
        <w:rPr>
          <w:rFonts w:cs="Arial"/>
          <w:color w:val="000000"/>
          <w:sz w:val="24"/>
          <w:szCs w:val="24"/>
        </w:rPr>
        <w:t>27 3727-1697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 xml:space="preserve">E-mail: </w:t>
      </w:r>
      <w:r>
        <w:rPr>
          <w:rFonts w:cs="Arial"/>
          <w:b w:val="false"/>
          <w:bCs w:val="false"/>
          <w:color w:val="000000"/>
          <w:sz w:val="24"/>
          <w:szCs w:val="24"/>
        </w:rPr>
        <w:t>saogabrielprev@gmail.com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 xml:space="preserve">Responsável: </w:t>
      </w:r>
      <w:r>
        <w:rPr>
          <w:rFonts w:cs="Arial"/>
          <w:b w:val="false"/>
          <w:bCs w:val="false"/>
          <w:color w:val="000000"/>
          <w:sz w:val="24"/>
          <w:szCs w:val="24"/>
        </w:rPr>
        <w:t>Instituto de Previdência dos Servidores de São Gabriel da Palha – SGP-Prev.</w:t>
      </w:r>
    </w:p>
    <w:p>
      <w:pPr>
        <w:pStyle w:val="Nivel2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 xml:space="preserve">5.3. 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Caso não seja possível a entrega na data assinalada, a empresa deverá comunicar as razões respectivas com pelo menos 03 (três) dias de antecedência para que qualquer pleito de prorrogação de prazo seja analisado, ressalvadas situações de caso fortuito e força maior.</w:t>
      </w:r>
    </w:p>
    <w:p>
      <w:pPr>
        <w:pStyle w:val="Nivel2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auto"/>
          <w:sz w:val="24"/>
          <w:szCs w:val="24"/>
        </w:rPr>
        <w:t xml:space="preserve">5.4.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Os itens poderão ser recebidos por qualquer servidor do SGP-Prev, cabendo ao Diretor Administrativo-Financeiro a verificação de sua conformidade com as especificações constantes neste Termo de Referência e na proposta.</w:t>
      </w:r>
    </w:p>
    <w:p>
      <w:pPr>
        <w:pStyle w:val="Nivel2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auto"/>
          <w:sz w:val="24"/>
          <w:szCs w:val="24"/>
        </w:rPr>
        <w:t xml:space="preserve">5.5.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O item poderá ser rejeitado, no todo ou em parte, quando em desacordo com as especificações constantes deste Termo de Referência e na respectiva Autorização de Fornecimento, devendo ser substituído imediatamente, no momento da constatação pelo demandante, às custas do demandado.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5.6.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O recebimento provisório ou definitivo não excluirá a responsabilidade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da contratada pelos prejuízos resultantes da incorreta execução do contrato.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 xml:space="preserve">5.7. 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No caso de recusa da entrega do produto pelo fornecedor, a Administração Pública adotará as providências cabíveis, de cordo com a legislação aplicável, visando sanar problemas porventura ocorridos.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 xml:space="preserve">5.8. </w:t>
      </w:r>
      <w:r>
        <w:rPr>
          <w:rFonts w:cs="Times New Roman" w:ascii="Times New Roman" w:hAnsi="Times New Roman"/>
          <w:b w:val="false"/>
          <w:bCs w:val="false"/>
          <w:iCs/>
          <w:color w:val="auto"/>
          <w:sz w:val="24"/>
          <w:szCs w:val="24"/>
        </w:rPr>
        <w:t>Não se verifica contratações correlatas ou interdependentes.</w:t>
      </w:r>
    </w:p>
    <w:p>
      <w:pPr>
        <w:pStyle w:val="ListParagraph"/>
        <w:ind w:left="0" w:hanging="0"/>
        <w:jc w:val="both"/>
        <w:rPr>
          <w:rFonts w:cs="Times New Roman"/>
          <w:b w:val="false"/>
          <w:b w:val="false"/>
          <w:bCs w:val="false"/>
          <w:iCs/>
          <w:color w:val="auto"/>
        </w:rPr>
      </w:pPr>
      <w:r>
        <w:rPr>
          <w:rFonts w:cs="Times New Roman"/>
          <w:b w:val="false"/>
          <w:bCs w:val="false"/>
          <w:iCs/>
          <w:color w:val="auto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>
        <w:rPr>
          <w:rFonts w:cs="Arial"/>
          <w:b/>
          <w:bCs/>
          <w:sz w:val="24"/>
          <w:szCs w:val="24"/>
        </w:rPr>
        <w:t xml:space="preserve"> DEFINIÇÃO E JUSTIFICATIVA DE CARACTERIZAÇÃO DO OBJETO E PRAZOS DA CONTRATAÇÃO</w:t>
      </w:r>
    </w:p>
    <w:p>
      <w:pPr>
        <w:pStyle w:val="Normal"/>
        <w:spacing w:lineRule="auto" w:line="276"/>
        <w:jc w:val="both"/>
        <w:rPr>
          <w:rFonts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6.1. </w:t>
      </w:r>
      <w:r>
        <w:rPr>
          <w:rFonts w:cs="Arial"/>
          <w:sz w:val="24"/>
          <w:szCs w:val="24"/>
        </w:rPr>
        <w:t>A especificação</w:t>
      </w:r>
      <w:r>
        <w:rPr>
          <w:rFonts w:cs="Arial"/>
          <w:sz w:val="24"/>
          <w:szCs w:val="24"/>
          <w:lang w:eastAsia="zh-CN"/>
        </w:rPr>
        <w:t xml:space="preserve"> dos itens </w:t>
      </w:r>
      <w:r>
        <w:rPr>
          <w:rFonts w:cs="Arial"/>
          <w:sz w:val="24"/>
          <w:szCs w:val="24"/>
        </w:rPr>
        <w:t>contidos no DFD e neste Termo de Referência, foi estudada para atender a todas as necessidades apresentadas, garantindo a qualidade dos produtos ofertados, facilidade na participação de empresas ofertantes, atendimento das necessidades do SGP-Prev e agilidade na entrega do fornecedor.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iCs/>
          <w:color w:val="auto"/>
          <w:sz w:val="24"/>
          <w:szCs w:val="24"/>
          <w:lang w:eastAsia="zh-CN"/>
        </w:rPr>
        <w:t>6.2.</w:t>
      </w:r>
      <w:r>
        <w:rPr>
          <w:rFonts w:cs="Arial"/>
          <w:b w:val="false"/>
          <w:bCs w:val="false"/>
          <w:iCs/>
          <w:color w:val="auto"/>
          <w:sz w:val="24"/>
          <w:szCs w:val="24"/>
          <w:lang w:eastAsia="zh-CN"/>
        </w:rPr>
        <w:t xml:space="preserve"> Não será necessário a celebração de contrato.</w:t>
      </w:r>
    </w:p>
    <w:p>
      <w:pPr>
        <w:pStyle w:val="Normal"/>
        <w:spacing w:lineRule="auto" w:line="276"/>
        <w:jc w:val="both"/>
        <w:rPr>
          <w:rFonts w:cs="Arial"/>
          <w:b w:val="false"/>
          <w:b w:val="false"/>
          <w:bCs w:val="false"/>
          <w:iCs/>
          <w:color w:val="auto"/>
          <w:lang w:eastAsia="zh-CN"/>
        </w:rPr>
      </w:pPr>
      <w:r>
        <w:rPr>
          <w:rFonts w:cs="Arial"/>
          <w:b w:val="false"/>
          <w:bCs w:val="false"/>
          <w:iCs/>
          <w:color w:val="auto"/>
          <w:lang w:eastAsia="zh-CN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</w:r>
      <w:bookmarkStart w:id="5" w:name="page68R_mcid1"/>
      <w:bookmarkStart w:id="6" w:name="page68R_mcid1"/>
      <w:bookmarkEnd w:id="6"/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7. OBRIGAÇÕES DA CONTRATANTE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7.1. </w:t>
      </w:r>
      <w:r>
        <w:rPr>
          <w:rFonts w:cs="Arial"/>
          <w:color w:val="000000"/>
          <w:sz w:val="24"/>
          <w:szCs w:val="24"/>
        </w:rPr>
        <w:t>Receber os itens no prazo e condições estabelecidas na Autorização de Fornecimento, neste Termo de Referência e seus anexos.</w:t>
      </w:r>
    </w:p>
    <w:p>
      <w:pPr>
        <w:pStyle w:val="Normal"/>
        <w:spacing w:lineRule="auto" w:line="276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7.2. </w:t>
      </w:r>
      <w:bookmarkStart w:id="7" w:name="page68R_mcid17"/>
      <w:r>
        <w:rPr>
          <w:rFonts w:cs="Arial"/>
          <w:color w:val="000000"/>
          <w:sz w:val="24"/>
          <w:szCs w:val="24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7.3.</w:t>
      </w:r>
      <w:r>
        <w:rPr>
          <w:rFonts w:cs="Arial"/>
          <w:color w:val="000000"/>
          <w:sz w:val="24"/>
          <w:szCs w:val="24"/>
        </w:rPr>
        <w:t xml:space="preserve">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7.4.</w:t>
      </w:r>
      <w:r>
        <w:rPr>
          <w:rFonts w:cs="Arial"/>
          <w:color w:val="000000"/>
          <w:sz w:val="24"/>
          <w:szCs w:val="24"/>
        </w:rPr>
        <w:t xml:space="preserve"> Acompanhar e fiscalizar o cumprimento das obrigações da Contratada, através de comissão/servidor especialmente designado.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7.5.</w:t>
      </w:r>
      <w:r>
        <w:rPr>
          <w:rFonts w:cs="Arial"/>
          <w:color w:val="000000"/>
          <w:sz w:val="24"/>
          <w:szCs w:val="24"/>
        </w:rPr>
        <w:t xml:space="preserve"> Efetuar o pagamento à Contratada no valor correspondente ao fornecimento dos objetos, no prazo e forma estabelecidos na Autorização de Fornecimento, neste Temo de Referência e seus anexos.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7.6.</w:t>
      </w:r>
      <w:r>
        <w:rPr>
          <w:rFonts w:cs="Arial"/>
          <w:color w:val="000000"/>
          <w:sz w:val="24"/>
          <w:szCs w:val="24"/>
        </w:rPr>
        <w:t xml:space="preserve"> A Autarquia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8. OBRIGAÇÕES DA CONTRATADA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8.1.</w:t>
      </w:r>
      <w:r>
        <w:rPr>
          <w:rFonts w:cs="Arial"/>
          <w:color w:val="000000"/>
          <w:sz w:val="24"/>
          <w:szCs w:val="24"/>
        </w:rPr>
        <w:t xml:space="preserve"> A Contratada deve cumprir todas as obrigações constantes na Autorização de Fornecimento, neste Temo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8.2. </w:t>
      </w:r>
      <w:r>
        <w:rPr>
          <w:rFonts w:cs="Arial"/>
          <w:color w:val="000000"/>
          <w:sz w:val="24"/>
          <w:szCs w:val="24"/>
        </w:rPr>
        <w:t>Efetuar a entrega dos itens em perfeitas condições, conforme especificações, prazo e local constantes da Autorização de Fornecimento,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8.3</w:t>
      </w:r>
      <w:r>
        <w:rPr>
          <w:rFonts w:cs="Arial"/>
          <w:color w:val="000000"/>
          <w:sz w:val="24"/>
          <w:szCs w:val="24"/>
        </w:rPr>
        <w:t>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8.4. </w:t>
      </w:r>
      <w:r>
        <w:rPr>
          <w:rFonts w:cs="Arial"/>
          <w:color w:val="000000"/>
          <w:sz w:val="24"/>
          <w:szCs w:val="24"/>
        </w:rPr>
        <w:t>Substituir, reparar ou corrigir, às suas expensas, no prazo fixado pelo Contratante, o objeto com avarias ou defeitos.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8.5. </w:t>
      </w:r>
      <w:r>
        <w:rPr>
          <w:rFonts w:cs="Arial"/>
          <w:color w:val="000000"/>
          <w:sz w:val="24"/>
          <w:szCs w:val="24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8.6.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Responsabilizar-se pelos custos referentes ao transporte e guarda dos equipamentos antes de sua entrega no local indicado.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8.7.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Manter-se, durante a vigência do contrato, todas as condições exigidas para habilitação, em observância à legislação vigente.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8.8.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Prestar esclarecimentos técnicos ao Contratante no que se refere ao objeto da aquisição, sempre que solicitada.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8.9.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Responsabilizar-se integralmente pelos encargos trabalhistas, previdenciários, fiscais, comerciais e de responsabilidade civil, bem como outros encargos, taxas e impostos decorrentes da execução do contrato.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8.10.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Apresentar à requisitante, inclusive para fins de liberação do pagamento, notas fiscais de todos os equipamentos.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8.11.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8.12.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Que sejam observados os requisitos ambientais para a obtenção de certificação do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cs="Verdana"/>
          <w:iCs/>
          <w:color w:val="000000"/>
          <w:lang w:eastAsia="en-US"/>
        </w:rPr>
      </w:pP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8.13.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Que os bens devam ser, preferencialmente, acondicionados em embalagem individual adequada, com o menor volume possível, que utilize materiais recicláveis, de forma a garantir a máxima proteção durante o transporte e o armazenamento.</w:t>
      </w:r>
      <w:bookmarkStart w:id="8" w:name="page68R_mcid202"/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9" w:name="page68R_mcid201"/>
      <w:bookmarkStart w:id="10" w:name="page68R_mcid20"/>
      <w:bookmarkStart w:id="11" w:name="page68R_mcid201"/>
      <w:bookmarkStart w:id="12" w:name="page68R_mcid20"/>
      <w:bookmarkEnd w:id="11"/>
      <w:bookmarkEnd w:id="12"/>
    </w:p>
    <w:p>
      <w:pPr>
        <w:pStyle w:val="Normal"/>
        <w:spacing w:lineRule="auto" w:line="276"/>
        <w:jc w:val="both"/>
        <w:rPr>
          <w:b/>
          <w:b/>
          <w:bCs/>
        </w:rPr>
      </w:pPr>
      <w:r>
        <w:rPr>
          <w:b/>
          <w:bCs/>
          <w:sz w:val="24"/>
          <w:szCs w:val="24"/>
        </w:rPr>
        <w:t>9. CRITÉRIOS DE PAGAMENTO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>9.1.</w:t>
      </w:r>
      <w:r>
        <w:rPr>
          <w:sz w:val="24"/>
          <w:szCs w:val="24"/>
          <w:lang w:eastAsia="en-US"/>
        </w:rPr>
        <w:t xml:space="preserve"> Recebida a nota fiscal ou instrumento de cobrança equivalente, correrá o prazo de 10 (dez) dias para liquidação e pagamento da despesa, na forma desta seção, prorrogáveis por período não superior à metade do inicialmente estabelecido.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  <w:shd w:fill="auto" w:val="clear"/>
        </w:rPr>
        <w:t>9.2.</w:t>
      </w:r>
      <w:r>
        <w:rPr>
          <w:sz w:val="24"/>
          <w:szCs w:val="24"/>
          <w:shd w:fill="auto" w:val="clear"/>
        </w:rPr>
        <w:t xml:space="preserve"> Para fins de liquidação, o setor competente deverá verificar se a </w:t>
      </w:r>
      <w:r>
        <w:rPr>
          <w:sz w:val="24"/>
          <w:szCs w:val="24"/>
          <w:shd w:fill="auto" w:val="clear"/>
          <w:lang w:eastAsia="en-US"/>
        </w:rPr>
        <w:t>nota fiscal ou instrumento de cobrança equivalente</w:t>
      </w:r>
      <w:r>
        <w:rPr>
          <w:sz w:val="24"/>
          <w:szCs w:val="24"/>
          <w:shd w:fill="auto" w:val="clear"/>
        </w:rPr>
        <w:t xml:space="preserve"> apresentada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>9.3.</w:t>
      </w:r>
      <w:r>
        <w:rPr>
          <w:sz w:val="24"/>
          <w:szCs w:val="24"/>
        </w:rPr>
        <w:t xml:space="preserve"> Havendo erro na apresentação da </w:t>
      </w:r>
      <w:r>
        <w:rPr>
          <w:sz w:val="24"/>
          <w:szCs w:val="24"/>
          <w:lang w:eastAsia="en-US"/>
        </w:rPr>
        <w:t>nota fiscal ou instrumento de cobrança equivalente</w:t>
      </w:r>
      <w:r>
        <w:rPr>
          <w:sz w:val="24"/>
          <w:szCs w:val="24"/>
        </w:rPr>
        <w:t>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/>
        <w:ind w:left="-22" w:hanging="0"/>
        <w:jc w:val="both"/>
        <w:rPr/>
      </w:pPr>
      <w:r>
        <w:rPr>
          <w:b/>
          <w:bCs/>
          <w:sz w:val="24"/>
          <w:szCs w:val="24"/>
        </w:rPr>
        <w:t xml:space="preserve">9.4. </w:t>
      </w:r>
      <w:r>
        <w:rPr>
          <w:sz w:val="24"/>
          <w:szCs w:val="24"/>
        </w:rPr>
        <w:t>A</w:t>
      </w:r>
      <w:r>
        <w:rPr>
          <w:sz w:val="24"/>
          <w:szCs w:val="24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LinkdaInternet"/>
          <w:sz w:val="24"/>
          <w:szCs w:val="24"/>
          <w:lang w:eastAsia="en-US"/>
        </w:rPr>
        <w:t>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9.5. </w:t>
      </w:r>
      <w:r>
        <w:rPr>
          <w:sz w:val="24"/>
          <w:szCs w:val="24"/>
        </w:rPr>
        <w:t>O pagamento será realizado por meio de depósito ou transferência em conta bancária indicada pelo fornecedor, ou meio de pagamento eletrônico, em chave cadastrada no CNPJ (PIX) da contratada.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>9.6</w:t>
      </w:r>
      <w:r>
        <w:rPr>
          <w:sz w:val="24"/>
          <w:szCs w:val="24"/>
        </w:rPr>
        <w:t>. Quando do pagamento, será efetuada a retenção tributária prevista na legislação aplicável.</w:t>
      </w:r>
    </w:p>
    <w:p>
      <w:pPr>
        <w:pStyle w:val="Normal"/>
        <w:spacing w:lineRule="auto" w:line="276"/>
        <w:ind w:left="-22" w:hanging="0"/>
        <w:jc w:val="both"/>
        <w:rPr/>
      </w:pPr>
      <w:r>
        <w:rPr>
          <w:b/>
          <w:bCs/>
          <w:sz w:val="24"/>
          <w:szCs w:val="24"/>
          <w:lang w:eastAsia="en-US"/>
        </w:rPr>
        <w:t>9.7</w:t>
      </w:r>
      <w:r>
        <w:rPr>
          <w:sz w:val="24"/>
          <w:szCs w:val="24"/>
          <w:lang w:eastAsia="en-US"/>
        </w:rPr>
        <w:t xml:space="preserve">. O contratado regularmente optante pelo Simples Nacional, nos termos da </w:t>
      </w:r>
      <w:hyperlink r:id="rId2">
        <w:r>
          <w:rPr>
            <w:sz w:val="24"/>
            <w:szCs w:val="24"/>
            <w:lang w:eastAsia="en-US"/>
          </w:rPr>
          <w:t>Lei Complementar nº 123, de 2006</w:t>
        </w:r>
      </w:hyperlink>
      <w:r>
        <w:rPr>
          <w:sz w:val="24"/>
          <w:szCs w:val="24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/>
        <w:ind w:left="-79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>9.8</w:t>
      </w:r>
      <w:r>
        <w:rPr>
          <w:sz w:val="24"/>
          <w:szCs w:val="24"/>
          <w:lang w:eastAsia="en-US"/>
        </w:rPr>
        <w:t>. Conforme Decreto Municipal nº 3.686/2023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9.9. </w:t>
      </w:r>
      <w:r>
        <w:rPr>
          <w:rFonts w:ascii="Times New Roman" w:hAnsi="Times New Roman"/>
          <w:sz w:val="24"/>
          <w:szCs w:val="24"/>
        </w:rPr>
        <w:t xml:space="preserve"> Após o prazo acima referenciado, será paga multa financeira nos seguintes termos: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sz w:val="24"/>
          <w:szCs w:val="24"/>
        </w:rPr>
        <w:t xml:space="preserve">VM = VF </w:t>
      </w:r>
      <w:r>
        <w:rPr>
          <w:rFonts w:cs="Verdana" w:ascii="Times New Roman" w:hAnsi="Times New Roman"/>
          <w:sz w:val="24"/>
          <w:szCs w:val="24"/>
          <w:vertAlign w:val="subscript"/>
        </w:rPr>
        <w:t>*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  <w:u w:val="single"/>
        </w:rPr>
        <w:t>0,33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  <w:vertAlign w:val="subscript"/>
        </w:rPr>
        <w:t>*</w:t>
      </w:r>
      <w:r>
        <w:rPr>
          <w:rFonts w:cs="Verdana" w:ascii="Times New Roman" w:hAnsi="Times New Roman"/>
          <w:sz w:val="24"/>
          <w:szCs w:val="24"/>
        </w:rPr>
        <w:t xml:space="preserve"> ND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Verdana" w:cs="Verdana" w:ascii="Times New Roman" w:hAnsi="Times New Roman"/>
          <w:sz w:val="24"/>
          <w:szCs w:val="24"/>
        </w:rPr>
        <w:t xml:space="preserve">        </w:t>
      </w:r>
      <w:r>
        <w:rPr>
          <w:rFonts w:cs="Verdana" w:ascii="Times New Roman" w:hAnsi="Times New Roman"/>
          <w:sz w:val="24"/>
          <w:szCs w:val="24"/>
        </w:rPr>
        <w:t>100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/>
          <w:color w:val="000000"/>
          <w:sz w:val="24"/>
          <w:szCs w:val="24"/>
        </w:rPr>
        <w:t xml:space="preserve">Onde: 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/>
          <w:color w:val="000000"/>
          <w:sz w:val="24"/>
          <w:szCs w:val="24"/>
        </w:rPr>
        <w:t xml:space="preserve">VM = Valor da Multa Financeira; 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/>
          <w:color w:val="000000"/>
          <w:sz w:val="24"/>
          <w:szCs w:val="24"/>
        </w:rPr>
        <w:t xml:space="preserve">VF = Valor da Nota Fiscal; 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rPr>
          <w:rFonts w:eastAsia="Times New Roman" w:cs="Arial"/>
          <w:color w:val="000000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</w:rPr>
        <w:t>ND = Número de dias em atraso.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9.10.</w:t>
      </w:r>
      <w:r>
        <w:rPr>
          <w:rFonts w:cs="Arial"/>
          <w:color w:val="000000"/>
          <w:sz w:val="24"/>
          <w:szCs w:val="24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9.11.</w:t>
      </w:r>
      <w:r>
        <w:rPr>
          <w:rFonts w:cs="Arial"/>
          <w:color w:val="000000"/>
          <w:sz w:val="24"/>
          <w:szCs w:val="24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9.12.</w:t>
      </w:r>
      <w:r>
        <w:rPr>
          <w:rFonts w:cs="Arial"/>
          <w:color w:val="000000"/>
          <w:sz w:val="24"/>
          <w:szCs w:val="24"/>
        </w:rPr>
        <w:t xml:space="preserve"> 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9.13.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  <w:lang w:eastAsia="en-US"/>
        </w:rPr>
        <w:t xml:space="preserve">Para a efetivação do pagamento, a CONTRATADA manterá as </w:t>
      </w:r>
      <w:r>
        <w:rPr>
          <w:rFonts w:cs="Arial"/>
          <w:sz w:val="24"/>
          <w:szCs w:val="24"/>
          <w:lang w:eastAsia="pt-BR"/>
        </w:rPr>
        <w:t>condições relativas à proposta de preço e a habilitação;</w:t>
      </w:r>
    </w:p>
    <w:p>
      <w:pPr>
        <w:pStyle w:val="Default"/>
        <w:spacing w:lineRule="auto" w:line="276"/>
        <w:ind w:left="-22" w:hanging="0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 DAS SANÇÕES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</w:t>
      </w:r>
      <w:r>
        <w:rPr>
          <w:iCs/>
          <w:sz w:val="24"/>
          <w:szCs w:val="24"/>
        </w:rPr>
        <w:t xml:space="preserve">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.1.1</w:t>
      </w:r>
      <w:r>
        <w:rPr>
          <w:iCs/>
          <w:sz w:val="24"/>
          <w:szCs w:val="24"/>
        </w:rPr>
        <w:t>. Dar causa à inexecução parcial do contrato.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.1.2.</w:t>
      </w:r>
      <w:r>
        <w:rPr>
          <w:iCs/>
          <w:sz w:val="24"/>
          <w:szCs w:val="24"/>
        </w:rPr>
        <w:t xml:space="preserve"> Dar causa à inexecução parcial que cause grave dano à Autarquia, ao funcionamento dos serviços públicos ou ao interesse coletivo.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.1.3.</w:t>
      </w:r>
      <w:r>
        <w:rPr>
          <w:iCs/>
          <w:sz w:val="24"/>
          <w:szCs w:val="24"/>
        </w:rPr>
        <w:t xml:space="preserve"> Dar causa à inexecução total;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.1.4.</w:t>
      </w:r>
      <w:r>
        <w:rPr>
          <w:iCs/>
          <w:sz w:val="24"/>
          <w:szCs w:val="24"/>
        </w:rPr>
        <w:t xml:space="preserve"> Deixar de entregar a documentação exigida para o certame.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.1.5.</w:t>
      </w:r>
      <w:r>
        <w:rPr>
          <w:iCs/>
          <w:sz w:val="24"/>
          <w:szCs w:val="24"/>
        </w:rPr>
        <w:t xml:space="preserve"> Não manter a proposta, salvo em decorrência de fato superveniente devidamente justificado.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.1.6</w:t>
      </w:r>
      <w:r>
        <w:rPr>
          <w:iCs/>
          <w:sz w:val="24"/>
          <w:szCs w:val="24"/>
        </w:rPr>
        <w:t xml:space="preserve">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.1.7.</w:t>
      </w:r>
      <w:r>
        <w:rPr>
          <w:iCs/>
          <w:sz w:val="24"/>
          <w:szCs w:val="24"/>
        </w:rPr>
        <w:t xml:space="preserve"> Ensejar o retardamento da execução ou da entrega do objeto sem motivo justificado;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.1.8</w:t>
      </w:r>
      <w:r>
        <w:rPr>
          <w:iCs/>
          <w:sz w:val="24"/>
          <w:szCs w:val="24"/>
        </w:rPr>
        <w:t>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</w:rPr>
        <w:t>10.1.9.</w:t>
      </w:r>
      <w:r>
        <w:rPr>
          <w:iCs/>
          <w:sz w:val="24"/>
          <w:szCs w:val="24"/>
        </w:rPr>
        <w:t xml:space="preserve"> Fraudar a dispensa eletrônica ou praticar ato fraudulento na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.1.10.</w:t>
      </w:r>
      <w:r>
        <w:rPr>
          <w:iCs/>
          <w:sz w:val="24"/>
          <w:szCs w:val="24"/>
        </w:rPr>
        <w:t xml:space="preserve"> Comportar-se de modo inidôneo ou cometer fraude de qualquer natureza.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.1.10.1</w:t>
      </w:r>
      <w:r>
        <w:rPr>
          <w:iCs/>
          <w:sz w:val="24"/>
          <w:szCs w:val="24"/>
        </w:rPr>
        <w:t>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.1.11.</w:t>
      </w:r>
      <w:r>
        <w:rPr>
          <w:iCs/>
          <w:sz w:val="24"/>
          <w:szCs w:val="24"/>
        </w:rPr>
        <w:t xml:space="preserve"> Praticar atos ilícitos com vistas a frustrar os objetivos deste certame.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.1.12</w:t>
      </w:r>
      <w:r>
        <w:rPr>
          <w:iCs/>
          <w:sz w:val="24"/>
          <w:szCs w:val="24"/>
        </w:rPr>
        <w:t>. Praticar ato lesivo previsto no art. 5º da Lei nº 12.846, de 1º de agosto de 2013.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10.1.13.</w:t>
      </w:r>
      <w:r>
        <w:rPr>
          <w:iCs/>
          <w:sz w:val="24"/>
          <w:szCs w:val="24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/>
        <w:jc w:val="both"/>
        <w:rPr>
          <w:iCs/>
        </w:rPr>
      </w:pPr>
      <w:r>
        <w:rPr>
          <w:iCs/>
          <w:sz w:val="24"/>
          <w:szCs w:val="24"/>
        </w:rPr>
        <w:tab/>
        <w:t>a) Advertência pela falta do subitem 10.1.1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iCs/>
          <w:sz w:val="24"/>
          <w:szCs w:val="24"/>
        </w:rPr>
        <w:tab/>
        <w:t xml:space="preserve">b) Multa, calculada na forma do edital, com base no total do valor da contratação realizada de forma direta e será aplicada ao responsável por qualquer das infrações administrativas previstas no item 10.1 deste Termo de Referência, no percentual de 10% (dez por cento), na hipótese de cometimento das infrações previstas nos itens 10.1.1 a </w:t>
      </w:r>
      <w:r>
        <w:rPr>
          <w:iCs/>
          <w:color w:val="000000"/>
          <w:sz w:val="24"/>
          <w:szCs w:val="24"/>
        </w:rPr>
        <w:t>10</w:t>
      </w:r>
      <w:r>
        <w:rPr>
          <w:iCs/>
          <w:sz w:val="24"/>
          <w:szCs w:val="24"/>
        </w:rPr>
        <w:t>.1.7 e 20% (vinte por cento), se cometidas infrações previstas nos itens 10.1.8 a 10.1.12;</w:t>
      </w:r>
    </w:p>
    <w:p>
      <w:pPr>
        <w:pStyle w:val="Normal"/>
        <w:spacing w:lineRule="auto" w:line="276"/>
        <w:ind w:left="-57" w:hanging="0"/>
        <w:jc w:val="both"/>
        <w:rPr>
          <w:iCs/>
        </w:rPr>
      </w:pPr>
      <w:r>
        <w:rPr>
          <w:iCs/>
          <w:sz w:val="24"/>
          <w:szCs w:val="24"/>
        </w:rPr>
        <w:tab/>
        <w:tab/>
        <w:tab/>
        <w:t>b.1) O valor da multa poderá ser descontado das faturas devidas à CONTRATADA;</w:t>
      </w:r>
    </w:p>
    <w:p>
      <w:pPr>
        <w:pStyle w:val="Normal"/>
        <w:spacing w:lineRule="auto" w:line="276"/>
        <w:jc w:val="both"/>
        <w:rPr>
          <w:iCs/>
        </w:rPr>
      </w:pPr>
      <w:r>
        <w:rPr>
          <w:iCs/>
          <w:sz w:val="24"/>
          <w:szCs w:val="24"/>
        </w:rPr>
        <w:tab/>
        <w:tab/>
        <w:t>b.2) A multa pode ser aplicada isoladamente ou com as penalidades definidas nos itens “c” e “d” abaixo:</w:t>
      </w:r>
    </w:p>
    <w:p>
      <w:pPr>
        <w:pStyle w:val="Normal"/>
        <w:spacing w:lineRule="auto" w:line="276"/>
        <w:jc w:val="both"/>
        <w:rPr>
          <w:iCs/>
        </w:rPr>
      </w:pPr>
      <w:r>
        <w:rPr>
          <w:iCs/>
          <w:sz w:val="24"/>
          <w:szCs w:val="24"/>
        </w:rPr>
        <w:tab/>
        <w:t>c) Impedimento de licitar e contratar no âmbito da Administração Pública direta e indireta do ente federativo que tiver aplicado a sanção, pelo prazo máximo de 03 (três) anos, nos casos dos subitens 10.1.2 a 10.1.7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iCs/>
        </w:rPr>
      </w:pPr>
      <w:r>
        <w:rPr>
          <w:iCs/>
          <w:sz w:val="24"/>
          <w:szCs w:val="24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10.1.8 a 10.1.12, deste Termo de Referência.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.3.</w:t>
      </w:r>
      <w:r>
        <w:rPr>
          <w:iCs/>
          <w:sz w:val="24"/>
          <w:szCs w:val="24"/>
        </w:rPr>
        <w:t xml:space="preserve"> Na aplicação das sanções serão considerados: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.3.1</w:t>
      </w:r>
      <w:r>
        <w:rPr>
          <w:iCs/>
          <w:sz w:val="24"/>
          <w:szCs w:val="24"/>
        </w:rPr>
        <w:t>. A natureza e a gravidade da infração cometida.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</w:rPr>
        <w:t>10.3.2</w:t>
      </w:r>
      <w:r>
        <w:rPr>
          <w:iCs/>
          <w:sz w:val="24"/>
          <w:szCs w:val="24"/>
        </w:rPr>
        <w:t>. As peculiaridades do caso concreto.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</w:rPr>
        <w:t>10.3.3.</w:t>
      </w:r>
      <w:r>
        <w:rPr>
          <w:iCs/>
          <w:sz w:val="24"/>
          <w:szCs w:val="24"/>
        </w:rPr>
        <w:t xml:space="preserve"> As circunstâncias agravantes ou atenuantes.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</w:rPr>
        <w:t>10.3.4.</w:t>
      </w:r>
      <w:r>
        <w:rPr>
          <w:iCs/>
          <w:sz w:val="24"/>
          <w:szCs w:val="24"/>
        </w:rPr>
        <w:t xml:space="preserve"> Os danos que dela provierem para a Autarquia.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</w:t>
      </w:r>
      <w:r>
        <w:rPr>
          <w:b/>
          <w:bCs/>
          <w:iCs/>
          <w:sz w:val="24"/>
          <w:szCs w:val="24"/>
        </w:rPr>
        <w:t>.3.5.</w:t>
      </w:r>
      <w:r>
        <w:rPr>
          <w:iCs/>
          <w:sz w:val="24"/>
          <w:szCs w:val="24"/>
        </w:rPr>
        <w:t xml:space="preserve"> A implantação ou o aperfeiçoamento de programa de integridade, conforme normas e orientações dos órgãos de controle.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</w:rPr>
        <w:t>10.4.</w:t>
      </w:r>
      <w:r>
        <w:rPr>
          <w:iCs/>
          <w:sz w:val="24"/>
          <w:szCs w:val="24"/>
        </w:rPr>
        <w:t xml:space="preserve"> Se a multa aplicada e as indenizações cabíveis forem superiores ao valor de pagamento eventualmente devido pela Autarquia à CONTRATADA, além da perda desse valor, a diferença será descontada da garantia prestada ou será cobrada judicialmente.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iCs/>
          <w:sz w:val="24"/>
          <w:szCs w:val="24"/>
          <w:lang w:eastAsia="en-US"/>
        </w:rPr>
        <w:t>10.5</w:t>
      </w:r>
      <w:r>
        <w:rPr>
          <w:iCs/>
          <w:sz w:val="24"/>
          <w:szCs w:val="24"/>
          <w:lang w:eastAsia="en-US"/>
        </w:rPr>
        <w:t>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ind w:left="-79" w:hanging="0"/>
        <w:jc w:val="both"/>
        <w:rPr>
          <w:b/>
          <w:b/>
          <w:bCs/>
          <w:shd w:fill="auto" w:val="clear"/>
          <w:lang w:eastAsia="en-US"/>
        </w:rPr>
      </w:pPr>
      <w:r>
        <w:rPr>
          <w:b/>
          <w:bCs/>
          <w:sz w:val="24"/>
          <w:szCs w:val="24"/>
          <w:shd w:fill="auto" w:val="clear"/>
          <w:lang w:eastAsia="en-US"/>
        </w:rPr>
        <w:t>11. DA HABILITAÇÃO</w:t>
      </w:r>
    </w:p>
    <w:p>
      <w:pPr>
        <w:pStyle w:val="Normal"/>
        <w:spacing w:lineRule="auto" w:line="276"/>
        <w:ind w:left="-79" w:hanging="0"/>
        <w:jc w:val="both"/>
        <w:rPr>
          <w:rFonts w:ascii="Times New Roman" w:hAnsi="Times New Roman"/>
          <w:b/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276" w:before="57" w:after="57"/>
        <w:ind w:left="-57" w:hanging="0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sz w:val="24"/>
          <w:szCs w:val="24"/>
          <w:lang w:eastAsia="ar-SA"/>
        </w:rPr>
        <w:t>11.1</w:t>
      </w:r>
      <w:r>
        <w:rPr>
          <w:rFonts w:cs="Verdana" w:ascii="Times New Roman" w:hAnsi="Times New Roman"/>
          <w:b w:val="false"/>
          <w:sz w:val="24"/>
          <w:szCs w:val="24"/>
          <w:lang w:eastAsia="ar-SA"/>
        </w:rPr>
        <w:t xml:space="preserve">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cs="Verdana"/>
          <w:lang w:eastAsia="ar-SA"/>
        </w:rPr>
      </w:pPr>
      <w:r>
        <w:rPr>
          <w:rFonts w:cs="Verdana" w:ascii="Times New Roman" w:hAnsi="Times New Roman"/>
          <w:sz w:val="24"/>
          <w:szCs w:val="24"/>
          <w:lang w:eastAsia="ar-SA"/>
        </w:rPr>
        <w:t>a) SICAF;</w:t>
      </w:r>
    </w:p>
    <w:p>
      <w:pPr>
        <w:pStyle w:val="ListParagraph"/>
        <w:spacing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sz w:val="24"/>
          <w:szCs w:val="24"/>
          <w:lang w:eastAsia="ar-SA"/>
        </w:rPr>
        <w:t xml:space="preserve">b) Cadastro Nacional de Empresas Inidôneas e Suspensas – CEIS, mantido pela </w:t>
      </w:r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Controladoria-Geral da União (</w:t>
      </w:r>
      <w:hyperlink r:id="rId3">
        <w:r>
          <w:rPr>
            <w:rFonts w:cs="Verdana" w:ascii="Times New Roman" w:hAnsi="Times New Roman"/>
            <w:color w:val="000000"/>
            <w:sz w:val="24"/>
            <w:szCs w:val="24"/>
            <w:lang w:eastAsia="ar-SA"/>
          </w:rPr>
          <w:t>www.portaldatransparencia.gov.br/ceis</w:t>
        </w:r>
      </w:hyperlink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);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 w:cs="Verdana"/>
          <w:color w:val="000000"/>
          <w:sz w:val="24"/>
          <w:szCs w:val="24"/>
          <w:lang w:eastAsia="ar-SA"/>
        </w:rPr>
      </w:pPr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Fonts w:cs="Verdana" w:ascii="Times New Roman" w:hAnsi="Times New Roman"/>
            <w:color w:val="000000"/>
            <w:sz w:val="24"/>
            <w:szCs w:val="24"/>
            <w:lang w:eastAsia="ar-SA"/>
          </w:rPr>
          <w:t>www.cnj.jus.br/improbidade_adm/consultar_requerido.php</w:t>
        </w:r>
      </w:hyperlink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).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cs="Verdana"/>
          <w:color w:val="000000"/>
          <w:lang w:eastAsia="ar-SA"/>
        </w:rPr>
      </w:pPr>
      <w:r>
        <w:rPr>
          <w:rFonts w:cs="Verdana" w:ascii="Times New Roman" w:hAnsi="Times New Roman"/>
          <w:color w:val="000000"/>
          <w:sz w:val="24"/>
          <w:szCs w:val="24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276" w:before="57" w:after="57"/>
        <w:ind w:left="-57" w:hanging="0"/>
        <w:rPr>
          <w:rFonts w:ascii="Times New Roman" w:hAnsi="Times New Roman" w:cs="Verdana"/>
          <w:b w:val="false"/>
          <w:b w:val="false"/>
          <w:color w:val="000000"/>
          <w:sz w:val="24"/>
          <w:szCs w:val="24"/>
          <w:lang w:eastAsia="ar-SA"/>
        </w:rPr>
      </w:pPr>
      <w:r>
        <w:rPr>
          <w:rFonts w:cs="Verdana" w:ascii="Times New Roman" w:hAnsi="Times New Roman"/>
          <w:b w:val="false"/>
          <w:color w:val="000000"/>
          <w:sz w:val="24"/>
          <w:szCs w:val="24"/>
          <w:lang w:eastAsia="ar-SA"/>
        </w:rPr>
        <w:t>e) Cadastro de empresas inidôneas,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Fonts w:cs="Verdana" w:ascii="Times New Roman" w:hAnsi="Times New Roman"/>
            <w:b w:val="false"/>
            <w:color w:val="000000"/>
            <w:sz w:val="24"/>
            <w:szCs w:val="24"/>
            <w:lang w:eastAsia="ar-SA"/>
          </w:rPr>
          <w:t>https://www.tcees.tc.br/portal-da-transparencia/consultas/lista-de</w:t>
        </w:r>
      </w:hyperlink>
      <w:r>
        <w:rPr>
          <w:rFonts w:cs="Verdana" w:ascii="Times New Roman" w:hAnsi="Times New Roman"/>
          <w:b w:val="false"/>
          <w:color w:val="000000"/>
          <w:sz w:val="24"/>
          <w:szCs w:val="24"/>
          <w:lang w:eastAsia="ar-SA"/>
        </w:rPr>
        <w:t xml:space="preserve"> responsáveis/proibidos-de-contratar/).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sz w:val="24"/>
          <w:szCs w:val="24"/>
          <w:lang w:eastAsia="ar-SA"/>
        </w:rPr>
        <w:t>11.1.1.</w:t>
      </w:r>
      <w:r>
        <w:rPr>
          <w:rFonts w:cs="Verdana"/>
          <w:sz w:val="24"/>
          <w:szCs w:val="24"/>
          <w:lang w:eastAsia="ar-SA"/>
        </w:rPr>
        <w:t xml:space="preserve"> </w:t>
      </w:r>
      <w:r>
        <w:rPr>
          <w:rFonts w:cs="Verdana"/>
          <w:color w:val="000000"/>
          <w:sz w:val="24"/>
          <w:szCs w:val="24"/>
          <w:lang w:eastAsia="ar-SA"/>
        </w:rPr>
        <w:t>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Fonts w:cs="Verdana"/>
            <w:color w:val="000000"/>
            <w:sz w:val="24"/>
            <w:szCs w:val="24"/>
            <w:lang w:eastAsia="ar-SA"/>
          </w:rPr>
          <w:t>https://certidoesapf.apps.tcu.gov.br/</w:t>
        </w:r>
      </w:hyperlink>
      <w:r>
        <w:rPr>
          <w:rFonts w:cs="Verdana"/>
          <w:color w:val="000000"/>
          <w:sz w:val="24"/>
          <w:szCs w:val="24"/>
          <w:lang w:eastAsia="ar-SA"/>
        </w:rPr>
        <w:t>);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/>
          <w:b/>
          <w:bCs/>
          <w:color w:val="000000"/>
          <w:sz w:val="24"/>
          <w:szCs w:val="24"/>
        </w:rPr>
        <w:t xml:space="preserve">11.1.2. </w:t>
      </w:r>
      <w:r>
        <w:rPr>
          <w:rFonts w:cs="Verdana"/>
          <w:color w:val="000000"/>
          <w:sz w:val="24"/>
          <w:szCs w:val="24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11.1.2.1. </w:t>
      </w:r>
      <w:r>
        <w:rPr>
          <w:rFonts w:cs="Verdana" w:ascii="Times New Roman" w:hAnsi="Times New Roman"/>
          <w:color w:val="000000"/>
          <w:sz w:val="24"/>
          <w:szCs w:val="24"/>
        </w:rPr>
        <w:t>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11.1.2.2.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11.1.2.3. </w:t>
      </w:r>
      <w:r>
        <w:rPr>
          <w:rFonts w:cs="Verdana" w:ascii="Times New Roman" w:hAnsi="Times New Roman"/>
          <w:color w:val="000000"/>
          <w:sz w:val="24"/>
          <w:szCs w:val="24"/>
        </w:rPr>
        <w:t>O licitante será convocado para manifestação previamente à sua desclassificação.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11.1.3 </w:t>
      </w:r>
      <w:r>
        <w:rPr>
          <w:rFonts w:cs="Verdana" w:ascii="Times New Roman" w:hAnsi="Times New Roman"/>
          <w:color w:val="000000"/>
          <w:sz w:val="24"/>
          <w:szCs w:val="24"/>
        </w:rPr>
        <w:t>Constatada a existência de sanção, o Pregoeiro reputará o licitante inabilitado, por falta de condição de participação.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11.1.4. </w:t>
      </w:r>
      <w:r>
        <w:rPr>
          <w:rFonts w:cs="Verdana" w:ascii="Times New Roman" w:hAnsi="Times New Roman"/>
          <w:color w:val="000000"/>
          <w:sz w:val="24"/>
          <w:szCs w:val="24"/>
        </w:rPr>
        <w:t>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ar-SA"/>
        </w:rPr>
        <w:t xml:space="preserve">11.2. 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Caso atendidas as condições de participação, </w:t>
      </w:r>
      <w:r>
        <w:rPr>
          <w:rFonts w:cs="Verdana" w:ascii="Times New Roman" w:hAnsi="Times New Roman"/>
          <w:sz w:val="24"/>
          <w:szCs w:val="24"/>
        </w:rPr>
        <w:t>a habilitação dos licitantes será verificada por meio do SICAF, nos documentos por ele abrangidos</w:t>
      </w:r>
      <w:r>
        <w:rPr>
          <w:rFonts w:cs="Verdana" w:ascii="Times New Roman" w:hAnsi="Times New Roman"/>
          <w:sz w:val="24"/>
          <w:szCs w:val="24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cs="Verdana"/>
          <w:lang w:eastAsia="ar-SA"/>
        </w:rPr>
      </w:pPr>
      <w:r>
        <w:rPr>
          <w:rFonts w:cs="Verdana" w:ascii="Times New Roman" w:hAnsi="Times New Roman"/>
          <w:sz w:val="24"/>
          <w:szCs w:val="24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11.2.2. </w:t>
      </w:r>
      <w:r>
        <w:rPr>
          <w:rFonts w:cs="Verdana" w:ascii="Times New Roman" w:hAnsi="Times New Roman"/>
          <w:color w:val="000000"/>
          <w:sz w:val="24"/>
          <w:szCs w:val="24"/>
        </w:rPr>
        <w:t>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11.2.3. </w:t>
      </w:r>
      <w:r>
        <w:rPr>
          <w:rFonts w:cs="Verdana" w:ascii="Times New Roman" w:hAnsi="Times New Roman"/>
          <w:color w:val="000000"/>
          <w:sz w:val="24"/>
          <w:szCs w:val="24"/>
        </w:rPr>
        <w:t>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11.3.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11.4.</w:t>
      </w:r>
      <w:r>
        <w:rPr>
          <w:rFonts w:cs="Verdana" w:ascii="Times New Roman" w:hAnsi="Times New Roman"/>
          <w:sz w:val="24"/>
          <w:szCs w:val="24"/>
        </w:rPr>
        <w:t xml:space="preserve">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11.5.</w:t>
      </w:r>
      <w:r>
        <w:rPr>
          <w:rFonts w:cs="Verdana" w:ascii="Times New Roman" w:hAnsi="Times New Roman"/>
          <w:sz w:val="24"/>
          <w:szCs w:val="24"/>
        </w:rPr>
        <w:t xml:space="preserve"> Não serão aceitos documentos de habilitação com indicação de CNPJ/CPF diferentes, salvo aqueles legalmente permitidos.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 xml:space="preserve">11.6. </w:t>
      </w:r>
      <w:r>
        <w:rPr>
          <w:rFonts w:cs="Verdana" w:ascii="Times New Roman" w:hAnsi="Times New Roman"/>
          <w:sz w:val="24"/>
          <w:szCs w:val="24"/>
        </w:rPr>
        <w:t>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57" w:after="57"/>
        <w:ind w:hanging="0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11.7. </w:t>
      </w:r>
      <w:r>
        <w:rPr>
          <w:rFonts w:cs="Verdana" w:ascii="Times New Roman" w:hAnsi="Times New Roman"/>
          <w:color w:val="000000"/>
          <w:sz w:val="24"/>
          <w:szCs w:val="24"/>
        </w:rPr>
        <w:t>Os licitantes deverão encaminhar, nos termos deste Edital, a documentação relacionada nos itens a seguir, para fins de habilitação: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0" w:after="0"/>
        <w:ind w:hanging="0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ListParagraph"/>
        <w:spacing w:before="0" w:after="0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11.8. Habilitação jurídica: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11.8.1. </w:t>
      </w:r>
      <w:r>
        <w:rPr>
          <w:rFonts w:cs="Verdana" w:ascii="Times New Roman" w:hAnsi="Times New Roman"/>
          <w:color w:val="000000"/>
          <w:sz w:val="24"/>
          <w:szCs w:val="24"/>
        </w:rPr>
        <w:t>No caso de empresário individual: inscrição no Registro Público de Empresas Mercantis, a cargo da Junta Comercial da respectiva sede;</w:t>
      </w:r>
    </w:p>
    <w:p>
      <w:pPr>
        <w:pStyle w:val="ListParagraph"/>
        <w:spacing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11.8.2. </w:t>
      </w:r>
      <w:r>
        <w:rPr>
          <w:rFonts w:cs="Verdana" w:ascii="Times New Roman" w:hAnsi="Times New Roman"/>
          <w:color w:val="000000"/>
          <w:sz w:val="24"/>
          <w:szCs w:val="24"/>
        </w:rPr>
        <w:t>Em se tratando de microempreendedor individual – MEI: Certificado da Condição de Microempreendedor Individual – CCMEI, cuja aceitação ficará condicionada à verificação da autenticidade no síti</w:t>
      </w:r>
      <w:r>
        <w:rPr>
          <w:rFonts w:cs="Verdana" w:ascii="Times New Roman" w:hAnsi="Times New Roman"/>
          <w:color w:val="000000"/>
          <w:sz w:val="24"/>
          <w:szCs w:val="24"/>
          <w:u w:val="single"/>
        </w:rPr>
        <w:t xml:space="preserve">o </w:t>
      </w:r>
      <w:hyperlink r:id="rId7">
        <w:r>
          <w:rPr>
            <w:rFonts w:cs="Verdana" w:ascii="Times New Roman" w:hAnsi="Times New Roman"/>
            <w:color w:val="000000"/>
            <w:sz w:val="24"/>
            <w:szCs w:val="24"/>
            <w:u w:val="single"/>
          </w:rPr>
          <w:t>www.portaldoempreendedor.gov.br</w:t>
        </w:r>
      </w:hyperlink>
      <w:r>
        <w:rPr>
          <w:rFonts w:cs="Verdana" w:ascii="Times New Roman" w:hAnsi="Times New Roman"/>
          <w:color w:val="000000"/>
          <w:sz w:val="24"/>
          <w:szCs w:val="24"/>
          <w:u w:val="single"/>
        </w:rPr>
        <w:t>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11.8.3. </w:t>
      </w:r>
      <w:r>
        <w:rPr>
          <w:rFonts w:cs="Verdana" w:ascii="Times New Roman" w:hAnsi="Times New Roman"/>
          <w:color w:val="000000"/>
          <w:sz w:val="24"/>
          <w:szCs w:val="24"/>
        </w:rPr>
        <w:t>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11.8.4. </w:t>
      </w:r>
      <w:r>
        <w:rPr>
          <w:rFonts w:cs="Verdana" w:ascii="Times New Roman" w:hAnsi="Times New Roman"/>
          <w:color w:val="000000"/>
          <w:sz w:val="24"/>
          <w:szCs w:val="24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11.8.5.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11.8.6. </w:t>
      </w:r>
      <w:r>
        <w:rPr>
          <w:rFonts w:cs="Verdana" w:ascii="Times New Roman" w:hAnsi="Times New Roman"/>
          <w:color w:val="000000"/>
          <w:sz w:val="24"/>
          <w:szCs w:val="24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11.8.7. </w:t>
      </w:r>
      <w:r>
        <w:rPr>
          <w:rFonts w:cs="Verdana" w:ascii="Times New Roman" w:hAnsi="Times New Roman"/>
          <w:color w:val="000000"/>
          <w:sz w:val="24"/>
          <w:szCs w:val="24"/>
        </w:rPr>
        <w:t>No caso de empresa ou sociedade estrangeira em funcionamento no País: decreto de autorização;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11.8.8.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>Os documentos acima deverão estar acompanhados de todas as alterações ou da consolidação respectiva;</w:t>
      </w:r>
    </w:p>
    <w:p>
      <w:pPr>
        <w:pStyle w:val="ListParagraph"/>
        <w:ind w:left="0" w:hanging="0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color w:val="000000"/>
          <w:sz w:val="24"/>
          <w:szCs w:val="24"/>
        </w:rPr>
        <w:t>11.9. Qualificação Econômico-Financeira</w:t>
      </w:r>
      <w:r>
        <w:rPr>
          <w:rFonts w:cs="Verdana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/>
          <w:b/>
          <w:bCs/>
          <w:color w:val="000000"/>
          <w:sz w:val="24"/>
          <w:szCs w:val="24"/>
        </w:rPr>
        <w:t xml:space="preserve">11.9.1. </w:t>
      </w:r>
      <w:r>
        <w:rPr>
          <w:rFonts w:cs="Verdana"/>
          <w:color w:val="000000"/>
          <w:sz w:val="24"/>
          <w:szCs w:val="24"/>
        </w:rPr>
        <w:t>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/>
          <w:b/>
          <w:bCs/>
          <w:color w:val="000000"/>
          <w:sz w:val="24"/>
          <w:szCs w:val="24"/>
        </w:rPr>
        <w:t xml:space="preserve">11.9.2. </w:t>
      </w:r>
      <w:r>
        <w:rPr>
          <w:rFonts w:cs="Verdana"/>
          <w:color w:val="000000"/>
          <w:sz w:val="24"/>
          <w:szCs w:val="24"/>
        </w:rPr>
        <w:t>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/>
          <w:b/>
          <w:bCs/>
          <w:sz w:val="24"/>
          <w:szCs w:val="24"/>
        </w:rPr>
        <w:t xml:space="preserve">11.9.3. </w:t>
      </w:r>
      <w:r>
        <w:rPr>
          <w:rFonts w:cs="Verdana"/>
          <w:sz w:val="24"/>
          <w:szCs w:val="24"/>
        </w:rPr>
        <w:t>Para a contagem do prazo estabelecido na letra “a” deste capítulo, será contado a partir do primeiro dia que antecede a data da realização desta dispensa de licitação.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/>
          <w:b/>
          <w:bCs/>
          <w:iCs/>
          <w:color w:val="000000"/>
          <w:sz w:val="24"/>
          <w:szCs w:val="24"/>
          <w:lang w:eastAsia="en-US"/>
        </w:rPr>
        <w:t xml:space="preserve">11.9.4. </w:t>
      </w:r>
      <w:r>
        <w:rPr>
          <w:rFonts w:cs="Verdana"/>
          <w:b w:val="false"/>
          <w:bCs w:val="false"/>
          <w:iCs/>
          <w:color w:val="000000"/>
          <w:sz w:val="24"/>
          <w:szCs w:val="24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76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rPr>
          <w:b/>
          <w:b/>
          <w:bCs/>
        </w:rPr>
      </w:pPr>
      <w:r>
        <w:rPr>
          <w:b/>
          <w:bCs/>
          <w:sz w:val="24"/>
          <w:szCs w:val="24"/>
        </w:rPr>
        <w:t>12.  ADEQUAÇÃO ORÇAMENTÁRIA</w:t>
      </w:r>
    </w:p>
    <w:p>
      <w:pPr>
        <w:pStyle w:val="ListParagraph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12.1. </w:t>
      </w:r>
      <w:r>
        <w:rPr>
          <w:rFonts w:ascii="Times New Roman" w:hAnsi="Times New Roman"/>
          <w:sz w:val="24"/>
          <w:szCs w:val="24"/>
        </w:rPr>
        <w:t>As despesas decorrentes da presente contratação correrão à conta de recursos específicos consignados na Lei Orçamentária Anual, bem como requisição do sistema presente nos autos, sendo a contratação atendida pela seguinte dotação:</w:t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cs="Arial"/>
        </w:rPr>
      </w:pPr>
      <w:r>
        <w:rPr>
          <w:rFonts w:cs="Arial"/>
          <w:sz w:val="24"/>
          <w:szCs w:val="24"/>
        </w:rPr>
        <w:t>FICHA – FONTE: 0000651-180200000000.</w:t>
      </w:r>
    </w:p>
    <w:p>
      <w:pPr>
        <w:pStyle w:val="Normal"/>
        <w:spacing w:lineRule="auto" w:line="276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  <w:sz w:val="24"/>
          <w:szCs w:val="24"/>
        </w:rPr>
        <w:t>13. DO RESPONSÁVEL PELA ELABORAÇÃO DO TERMO DE REFERÊNCIA</w:t>
      </w:r>
    </w:p>
    <w:p>
      <w:pPr>
        <w:pStyle w:val="Normal"/>
        <w:spacing w:lineRule="auto" w:line="276" w:before="0" w:after="36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13.1</w:t>
      </w:r>
      <w:bookmarkStart w:id="13" w:name="page66R_mcid16"/>
      <w:r>
        <w:rPr>
          <w:rFonts w:cs="Arial"/>
          <w:color w:val="000000"/>
          <w:sz w:val="24"/>
          <w:szCs w:val="24"/>
        </w:rPr>
        <w:t>. A elaboração deste Termo de Referência foi estruturada através do DFD – Documento de Formalização de Demanda elaborado pelo requisitante.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São Gabriel da Palha, 1</w:t>
      </w:r>
      <w:r>
        <w:rPr>
          <w:sz w:val="24"/>
          <w:szCs w:val="24"/>
        </w:rPr>
        <w:t>9</w:t>
      </w:r>
      <w:r>
        <w:rPr>
          <w:sz w:val="24"/>
          <w:szCs w:val="24"/>
        </w:rPr>
        <w:t xml:space="preserve"> de julho de 2024.</w:t>
      </w:r>
    </w:p>
    <w:p>
      <w:pPr>
        <w:pStyle w:val="Normal"/>
        <w:spacing w:lineRule="auto" w:line="276"/>
        <w:jc w:val="right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cs="Arial"/>
          <w:b/>
          <w:b/>
          <w:bCs/>
        </w:rPr>
      </w:pPr>
      <w:r>
        <w:rPr>
          <w:rFonts w:cs="Arial"/>
          <w:b/>
          <w:bCs/>
          <w:sz w:val="24"/>
          <w:szCs w:val="24"/>
        </w:rPr>
        <w:t>Elaborado por: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kern w:val="0"/>
          <w:sz w:val="24"/>
          <w:szCs w:val="24"/>
          <w:lang w:val="pt-BR" w:bidi="ar-SA"/>
        </w:rPr>
        <w:t>VALTER BONATTO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kern w:val="0"/>
          <w:sz w:val="24"/>
          <w:szCs w:val="24"/>
          <w:lang w:val="pt-BR" w:bidi="ar-SA"/>
        </w:rPr>
        <w:t>Responsável pela elaboração do Termo de Referência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kern w:val="0"/>
          <w:sz w:val="24"/>
          <w:szCs w:val="24"/>
          <w:lang w:val="pt-BR" w:bidi="ar-SA"/>
        </w:rPr>
        <w:t>Portaria nº 20/2024 – SGP-Prev</w:t>
      </w:r>
      <w:bookmarkEnd w:id="0"/>
      <w:bookmarkEnd w:id="7"/>
      <w:bookmarkEnd w:id="8"/>
      <w:bookmarkEnd w:id="13"/>
    </w:p>
    <w:sectPr>
      <w:headerReference w:type="default" r:id="rId8"/>
      <w:footerReference w:type="default" r:id="rId9"/>
      <w:type w:val="nextPage"/>
      <w:pgSz w:w="11906" w:h="16838"/>
      <w:pgMar w:left="1550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sz w:val="20"/>
        <w:szCs w:val="20"/>
      </w:rPr>
      <w:t xml:space="preserve"> </w:t>
    </w:r>
    <w:r>
      <w:rPr>
        <w:rStyle w:val="Nmerodepgina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  <w:p>
    <w:pPr>
      <w:pStyle w:val="Normal"/>
      <w:jc w:val="center"/>
      <w:rPr>
        <w:rFonts w:ascii="Arial Narrow" w:hAnsi="Arial Narrow"/>
        <w:b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LinkdaInternet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link w:val="Quote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 w:customStyle="1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pt-BR"/>
    </w:rPr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Ttulo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before="120" w:after="120"/>
      <w:ind w:left="425" w:hanging="0"/>
      <w:contextualSpacing/>
      <w:jc w:val="both"/>
    </w:pPr>
    <w:rPr>
      <w:rFonts w:ascii="Arial" w:hAnsi="Arial" w:cs="Arial"/>
      <w:sz w:val="20"/>
    </w:rPr>
  </w:style>
  <w:style w:type="paragraph" w:styleId="Contedodatabela" w:customStyle="1">
    <w:name w:val="Conteúdo da tabela"/>
    <w:basedOn w:val="Normal"/>
    <w:qFormat/>
    <w:pPr/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Nivel01" w:customStyle="1">
    <w:name w:val="Nivel 01"/>
    <w:basedOn w:val="Ttulo1"/>
    <w:qFormat/>
    <w:pPr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MS Gothic" w:cs="Times New Roman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Application>LibreOffice/7.4.4.2$Windows_X86_64 LibreOffice_project/85569322deea74ec9134968a29af2df5663baa21</Application>
  <AppVersion>15.0000</AppVersion>
  <Pages>13</Pages>
  <Words>4394</Words>
  <Characters>25128</Characters>
  <CharactersWithSpaces>29261</CharactersWithSpaces>
  <Paragraphs>317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2024-05-07T17:48:00Z</dcterms:created>
  <dc:creator>Ruth Barbara da Silwa Nascimento</dc:creator>
  <dc:description/>
  <dc:language>pt-BR</dc:language>
  <cp:lastModifiedBy/>
  <cp:lastPrinted>2024-07-31T10:08:00Z</cp:lastPrinted>
  <dcterms:modified xsi:type="dcterms:W3CDTF">2024-07-31T10:07:44Z</dcterms:modified>
  <cp:revision>125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